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F" w:rsidRPr="00EF58BF" w:rsidRDefault="00EF58BF" w:rsidP="00EF58BF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8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Prof. David Wool</w:t>
      </w:r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Quick navigation: </w:t>
      </w:r>
    </w:p>
    <w:p w:rsidR="00EF58BF" w:rsidRPr="00EF58BF" w:rsidRDefault="00EF58BF" w:rsidP="00EF58B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anchor_cv" w:tooltip="CV" w:history="1">
        <w:r w:rsidRPr="00EF5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CV</w:t>
        </w:r>
      </w:hyperlink>
    </w:p>
    <w:p w:rsidR="00EF58BF" w:rsidRPr="00EF58BF" w:rsidRDefault="00EF58BF" w:rsidP="00EF58B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anchor_research" w:tooltip="Research Interests" w:history="1">
        <w:r w:rsidRPr="00EF5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 Interests</w:t>
        </w:r>
      </w:hyperlink>
    </w:p>
    <w:p w:rsidR="00EF58BF" w:rsidRPr="00EF58BF" w:rsidRDefault="00EF58BF" w:rsidP="00EF58B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anchor_publications" w:tooltip="Recent Publications" w:history="1">
        <w:r w:rsidRPr="00EF5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Recent Publications</w:t>
        </w:r>
      </w:hyperlink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714500"/>
            <wp:effectExtent l="0" t="0" r="0" b="0"/>
            <wp:docPr id="1" name="Picture 1" descr="Prof. David W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David W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9" w:tooltip="dwool@tauex.tau.ac.il" w:history="1">
        <w:r w:rsidRPr="00EF5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dwool@tauex.tau.ac.il</w:t>
        </w:r>
      </w:hyperlink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Phone: 03-6409807</w:t>
      </w:r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External phone: 050-5714951</w:t>
      </w:r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Fax: 03-6409403</w:t>
      </w:r>
    </w:p>
    <w:p w:rsidR="00EF58BF" w:rsidRPr="00EF58BF" w:rsidRDefault="00EF58BF" w:rsidP="00EF58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Office: Sherman - Life Sciences, 310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CV</w:t>
      </w:r>
    </w:p>
    <w:tbl>
      <w:tblPr>
        <w:tblW w:w="10206" w:type="dxa"/>
        <w:jc w:val="center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3"/>
        <w:gridCol w:w="3242"/>
        <w:gridCol w:w="1914"/>
        <w:gridCol w:w="2737"/>
      </w:tblGrid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 (dates)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 or award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1961-1964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B.Sc.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1964-1966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M.Sc. (Hons.)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1966-1969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Kansas,</w:t>
            </w:r>
          </w:p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Lawrence, USA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Entomology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</w:tc>
      </w:tr>
    </w:tbl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Title of Master's dissertation: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Chironomidae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Diptera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 from the Hula Nature Reserve, Israel.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 xml:space="preserve">Supervisor: Prof.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Kugler</w:t>
      </w:r>
      <w:proofErr w:type="spellEnd"/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Title of Doctoral dissertation: Deviations of zygotic frequencies from expectations in eggs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 xml:space="preserve">Supervisor: Prof. R.R.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Sokal</w:t>
      </w:r>
      <w:proofErr w:type="spellEnd"/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AND PROFESSIONAL EXPERIENCE</w:t>
      </w:r>
    </w:p>
    <w:tbl>
      <w:tblPr>
        <w:tblW w:w="10206" w:type="dxa"/>
        <w:jc w:val="center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8"/>
        <w:gridCol w:w="3132"/>
        <w:gridCol w:w="1839"/>
        <w:gridCol w:w="3097"/>
      </w:tblGrid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 (dates)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 / Function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1970-1974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  <w:bookmarkStart w:id="0" w:name="_GoBack"/>
            <w:bookmarkEnd w:id="0"/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1976-1977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Reading,</w:t>
            </w:r>
          </w:p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Sabbatical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1977-1981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1981-l988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Michigan State Univ.,</w:t>
            </w:r>
          </w:p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Sabbatical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1988-2001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Macquarie University,</w:t>
            </w:r>
          </w:p>
          <w:p w:rsidR="00EF58BF" w:rsidRPr="00EF58BF" w:rsidRDefault="00EF58BF" w:rsidP="00EF58BF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Sydney, Australia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Biol. Sci.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Sabbatical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2001-present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Emeritus</w:t>
            </w:r>
          </w:p>
        </w:tc>
      </w:tr>
      <w:tr w:rsidR="00EF58BF" w:rsidRPr="00EF58BF" w:rsidTr="00517A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l990-1992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0" w:type="auto"/>
            <w:vAlign w:val="center"/>
            <w:hideMark/>
          </w:tcPr>
          <w:p w:rsidR="00EF58BF" w:rsidRPr="00EF58BF" w:rsidRDefault="00EF58BF" w:rsidP="00EF58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Chairman</w:t>
            </w:r>
          </w:p>
        </w:tc>
      </w:tr>
    </w:tbl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AND PROFESSIONAL AWARDS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1982-1985 BARD ($150,000)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  Genetic manipulation of almond-moth populations as a means of reducing or preventing insecticide resistance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1986-l990 CDR-AID ($147,000)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  Identification and characterization of genetic strains in </w:t>
      </w:r>
      <w:proofErr w:type="spellStart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>tabaci</w:t>
      </w:r>
      <w:proofErr w:type="spellEnd"/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IN PROFESSIONAL SOCIETIES</w:t>
      </w:r>
    </w:p>
    <w:p w:rsidR="00EF58BF" w:rsidRPr="00EF58BF" w:rsidRDefault="00EF58BF" w:rsidP="00EF58B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Entomological Society of America</w:t>
      </w:r>
    </w:p>
    <w:p w:rsidR="00EF58BF" w:rsidRPr="00EF58BF" w:rsidRDefault="00EF58BF" w:rsidP="00EF58B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Society for Population Ecology (Japan)</w:t>
      </w:r>
    </w:p>
    <w:p w:rsidR="00EF58BF" w:rsidRPr="00EF58BF" w:rsidRDefault="00EF58BF" w:rsidP="00EF58B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Israel Zoological Society</w:t>
      </w:r>
    </w:p>
    <w:p w:rsidR="00EF58BF" w:rsidRPr="00EF58BF" w:rsidRDefault="00EF58BF" w:rsidP="00EF58B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Israel Entomological Society</w:t>
      </w:r>
    </w:p>
    <w:p w:rsidR="00EF58BF" w:rsidRPr="00EF58BF" w:rsidRDefault="00EF58BF" w:rsidP="00EF58B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 Israel Ecological Society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Interests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Ecological and population genetics; evolution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Biology and ecology of gall-forming aphids.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Recent Publications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Books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 xml:space="preserve">Wool, D. The driving forces in Evolution -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processes in populations.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Ramot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Publ. Co. l985 (in Hebrew).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The Driving Forces in Evolution –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processes in populations Science Publishers, Enfield,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NH ,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Refereed Articles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Kugler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J. and D. Wool.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Chironomidae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Diptera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from the Hula Nature Preserve, Israel. Ann. Zool.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Fenn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5: 76-83, 1968.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Kugler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Circadian rhythm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Chironomid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species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Diptera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from the Hula Nature Preserve, Israel. Ann. Zool.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Fenn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6: 94-97, 1969.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The effect of larval age range on survival of two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strains in pure and mixed cultures.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11: 40-44, 1969.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Depth distribution of adults and immatures of two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strains in pure and mixed cultures.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11: 137-149, 1969.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Differences in population parameters of two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strains in environments of different shapes.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11: 45-66, 1969.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Deviation of zygotic frequencies from expectation in eggs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Genetics 66: 115--132, 1970.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Sokal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R.R., E.H. Bryant and D. Wool. Selection for changes in genetic facilitation: negative results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Musca. Heredity 25: 299-306, 1970.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A new approach to insecticide resistance: Ecological genetic speculation. Bull.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Soc. Amer. 17: 133-135, 1971.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A critical examination of the use of the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Jolicoeur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-Brunel diagrams to demonstrate selection in biological populations. Genetics 70: 181-185, 1972.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The growth phase of serially-transferred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populations. J. Anim. Ecol. 41: 439-451, 1972.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Size, productivity, age and competition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populations subjected to long-term serial transfer. J. Anim. Ecol. 42: 183-200, 1973.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Wool, D. Quantitative evaluation of temporal similarity in abundance of animal species.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15: 90-98, 1973.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Sverdlov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E. and D. Wool. The effect of rearing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used culture medium on developmental time of the next generation.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6: 550-551, 1973.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Mendlinger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The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mutant of the flour beetle,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Environmental and genetic effects on penetrance.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44: 496-504, 1973.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On the possibility of controlling disease vectors by genetic means.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Ha'Refua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84: 658-662, 1973. (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Hebrew).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Sverdlov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E. and D. Wool. Some aspects of survival of starved adult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Herbst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J. Stored Prod. Res. 11: 145-154, 1975.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E.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Sverdlov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Sib-mating populations in an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unpredicatable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environment: effects on components of fitness. Evolution 30: 119-129, 1976.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Changes of life-history stage distribution of single-strain and mixed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populations during a single generation at a lowered temperature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J. Anim. Ecol. 45: 381-394, 1975.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Cohen, E., E.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Sverdlov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D. Wool. Expression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Esterases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during ontogenesis of the flour beetle,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Genet. 15: 253-264, 1977.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Genetic and environmental components of morphological variation in gall-forming aphids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 in relation to climate. J. Anim. Ecol. 46: 875-889, 1977.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Koach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J. and D. Wool. Geographic distribution and host specificity of gall forming aphids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trees in Israel.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Marcellia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40: 207-216, 1977.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H.F. van Emden and S.W. Bunting. Electrophoretic detection of the internal parasite,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Aphidius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matricariae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Myzus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persicae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Ann. Appl. Biol. 90: 21-26, 1978.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S. Bunting and H.F. van Emden. Electrophoretic study of genetic variation in British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Myzus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persicae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Sulz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.)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Hemiptera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Genet. 16: 987-1006, 1978.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E.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Sverdlov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Temporal patterns of food availability and their effect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populations.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20: 61-73, 1978.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Wool, D. and O.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Analysis of selection processes using the incompletely-penetrant mutant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Can. J. Genet.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Cytol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21: 405-415, 1979.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O.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Sperm precedence in repeated mating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adults.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26: 157-160, 1979.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On ecological inference from kurtosis and skewness of morphological characters.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22: 263-272, 1980.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Noiman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Amylase activity in adults and immatures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confusum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90: 382-390, 1980.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O. Manheim. Genetically-induced susceptibility to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malathion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despite selection for resistance.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28: 183-190, 1980.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E., T. Perl, A.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Beiles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D. Wool &amp; U.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Zoller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Genetic structure as a potential monitor of marine pollution.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Journees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Etud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Pollutions, Cagliari, C.I.S.E.M. pp. 61-68, 1980.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Mendlinger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ecological consequences of subdivision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populations. J. Anim. Ecol. 50: 421-433, 1981.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H.F. van Emden. A possible genetic component in the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adaptibility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Myzus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persicae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clones to artificial diet.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91: 225-231, 1981.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E., T. Perl, A.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Beiles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D. Wool. Mercury selection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allozyme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genotypes in shrimps.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Experientia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37: 1152-1154, 1981.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Critical examination of postulated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cladistic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relationships among species of flour beetles (Gen.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Genet. 20: 333-349, 1982.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Family selection for DDT resistance in flour beetles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as a model for group selection of fitness traits. Isr.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16: 73-85, 1982.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Noiman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S. and D. Wool. Genetic and ecological properties of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malathion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resistance in a "field" strain of the flour beetle,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93: 496-503, 1982.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Graur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D. and D. Wool. Dynamics and genetics of mating behavior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Behav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Genet. 12: 161-179, 1982.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Wool, D., 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Noiman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O. Manheim and E. Cohen. Malathion resistance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strains and their hybrids: Inheritance patterns and possible enzymatic mechanisms.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Genet. 20: 621-636, 1982.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Noiman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Integrated control of insecticide resistance by combined genetic and chemical treatments: a warehouse model with flour beetles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95: 22-29, 1983.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Age-dependent resistance to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malathion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adult almond moths,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96: 386-391, 1983.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O. Manheim. The effects of environment subdivision on morphological variation in the "cauliflower" galls of the aphid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Slavum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wertheimae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Isr.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17: 95-1O4, 1983.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Directional and correlated effects of selection on amylase activity, weight and developmental time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confusum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65: 173-178, 1984.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Effects of diet and of larval density on adult sensitivity to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malathion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on ecological parameters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 (Lepidoptera,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Phyticidae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98: 58-62, 1984.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E.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Shirtz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Selection for high and low amylase activity in adult flour beetles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confusum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63: 229-236, 1984.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D.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Gerling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Isabelle Cohen. Electrophoretic detection of two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endoparasite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species,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Encarsia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lutea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Eretmocerus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mundus, in the whitefly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98: 276-279, 1984.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Blind flour beetles: the expression of variable eye phenotypes in the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microcephalic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(mc) mutant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Isr.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19: 201-210, 1985.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Graur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D. and D. Wool. Unidirectional interspecific mating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T.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confusum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: Evolutionary and ecological implications.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38: 261-265, 1985.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Enzyme activity levels in individuals: Selective value, over-reaction and conditional neutrality.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Evolutionary Theory 8: 39-48, 1986.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O. Manheim. Population ecology of the gall-forming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Aploneura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lentisci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Israel.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28: 151-162, 1986.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Z.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Namir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O.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Dietary regulation of amylase activity levels in flour beetles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Ann.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Soc. Amer. 79: 407-413, 1986.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O. and D. Wool. Genetic variation and the ability to colonize new niches in the flour beetle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castaneum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Herbst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Heredity 57: 403-406, 1986.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D.and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O.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Random environmental variation and inbreeding: effect on pure-strain and hybrid populations of flour beetles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Can. J. Genet.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Cytol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28: 889-898, 1986.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Differentiation of island populations: a laboratory model. Am. Nat. 129: 188-202, 1987.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O. and D. Wool. Attraction of flour beetles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to wheat flour: heritable character or "conditioning"?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104: 179-186, 1987.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J.H. Brower and 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The relative importance of factors affecting the size of laboratory populations of the almond moth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 (Lepidoptera,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Pyralidae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Z. Ang.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104: 217-227, 1987.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O. Manheim. The effect of host plant properties on gall density, gall weight and clone size in the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Aploneura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lentisci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(Pass.)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in Israel. 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30: 227-234, 1988.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Bergerson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O. and D. Wool. The process of adaptation of flour beetles to new environments.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77: 3-13, 1988.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J.H. Brower and 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  The genetic impact of immigrant males on resident populations of the Almond moth,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 (</w:t>
      </w:r>
      <w:proofErr w:type="spellStart"/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Lep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Pyralidae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J. Appl.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106: 339-344, 1988.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Aloni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R., D. Katz and D. Wool. Effect of the gall-forming aphid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Slavum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wertheimae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on the differentiation of xylem in branches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atlantica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 Ann. Bot. 63: 373-375, 1989.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D.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Gerling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Nolt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L.M.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Constantino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A. Bellotti and F. Morales. The use of electrophoresis for identification of adult whiteflies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Aleyrodidae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in Israel and Colombia. J. Appl.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107: 344-350, 1989.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Regular alternation of high and low population size of gall-forming aphids: analysis of ten years of data.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Oikos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57: 73-79, 1990.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 and S. Greenberg. Esterase activity in whiteflies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 in Israel in relation to insecticide resistance.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57: 251-258, 1990.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N. and D. Wool. Dietary modification of digestive physiology in larvae of the almond moth,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 (Lepidoptera,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Phyticidae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J. Econ.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84: 768-775, 1991.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>Wool, D. and M. Burstein. A galling aphid with extra life-cycle complexity: population ecology and evolutionary considerations.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 xml:space="preserve">Res.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33: 307,322, 1991.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M. Burstein. Parasitoids attacking the gall-forming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Smynthurodes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betae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Westw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Aphidoidea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 in Israel.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Entomophaga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36: 531-538, 1991.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D.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Gerling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A.C. Bellotti, F.J. Morales and B.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Nolt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Spatial and temporal genetic variation in populations of the whitefly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.) in Israel and Colombia: an interim report. Insect. Sci. Appl. 12: 225-230, 1991.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Relative fitness in an ecological context: a three-dimensional representation of fitness of almond moth strains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(Walker), Lepidoptera,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Phyticidae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J. Appl.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113: 168-174, l992.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Kaufman, B. and D. Wool. Gene flow by immigrants into isolated recipient populations: a laboratory model using flour beetles.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Genetica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85: 163-171, 1992.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Burstein, M. and D. Wool. Great Tits exploit aphid galls as a source of food.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Ornis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23: 107-109, 1992.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J.H. Brower and 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Reduction of Malathion resistance in caged almond moth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Cadra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 (Lepidoptera,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Pyralidae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 populations by the introduction of susceptible males. J. Stored Prod. Res., 28: 59-65, l992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Burstein, M. and D. Wool. Gall aphids do not select optimal sites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Smynthurodes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betae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Pemphigidae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Ecol.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18: 155-164, 1993.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Kamin-Belsky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N. and D. Wool. Ecological aspects of digestive enzyme co-variation in almond moth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Ephestia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cautella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(Walker) (Lepidoptera,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Phyticidae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). J. Stored Prod. Res. 29: 323-332, 1993.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D.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Gerling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A.C. Bellotti and F.J. Morales. Esterase electrophoretic variation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.)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Aleyrodidae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among host plants and localities in Israel. J. Appl.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115: 185-196, 1993.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Shchukin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A. and D. Wool.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Pyrethroid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resistance and esterase activity in selected laboratory populations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sweetpotato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whiteflies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Eur.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91: 285-295, 1994.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Bloch, G. and D. Wool.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Methidathion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resistance in the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sweetpotato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whitefly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Aleyrodidae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in Israel: selection, heritability, and correlated changes of esterase activity. J. Econ.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87: 1147-1156, 1994.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>Inbar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(Burstein), M. and D. Wool. Phloem-feeding specialists sharing a host tree: resource partitioning minimizes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interference competition among galling aphid species.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Oikos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73: 109-119, 1994.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Burstein, M., D. Wool and A.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Eshel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Sink strength and clone size of sympatric gall-forming aphids. Eur.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91: 57-61, 1994.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O. Manheim, M. Burstein and T. Levi. Dynamics of re-migration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sexuparae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to their primary hosts in the gall-forming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Aphidoidea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Pemphigidae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Eur.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91: 103-108, 1994.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L. Calvert, L.M.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Constantino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A.C. Bellotti and D.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Gerling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Differentiation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Genn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.) populations in Colombia. J. Appl.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117: 122-134, 1994.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Aphid-induced galls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the natural Mediterranean forest of Israel: which, where, and how many? Isr. J. Zool. 41: 591-600, 1995.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Bloch, G. and D. Wool. Esterase activity in populations of the whitefly,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Bemisia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tabaci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heritability and associated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organophosphorous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resistance. Bull. </w:t>
      </w:r>
      <w:proofErr w:type="spellStart"/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Res. 85: 11-19, 1995.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N. Bar-El. Population ecology of the galling aphid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formicaria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Heyden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Israel: abundance, demography and gall structure. Isr. J. Zool. 41: 175-192, 1995.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Inbar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M., A.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Eshel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D. Wool. Interspecific competition among phloem-feeding insects mediated by induced hostplant sinks. Ecology 76: 1506-1515, 1995.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D. Hales and P.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Sunnucks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Host plant relationships of Aphis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gossypii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Glover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in Australia. J. Austral.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Soc. 34: 265-271, 1995.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Aphid galls: what makes them attractive for study?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Cecidology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11: 2-8, 1996.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D.F. Hales. Previous infestation affects recolonization of cotton by Aphis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gossypii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: induced resistance or plant damage?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Phytoparasitica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24: 39-48, 1996.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D.F. Hales. Phenotypic plasticity in Australian Aphis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gossypii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hostplant effects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morpholoigcal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variation. Ann.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Soc. Amer. 90: 316-328, 1997.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O. Manheim and M.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Inbar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The return flight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sexuparae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of galling aphids to their primary host trees: implications for differential herbivory and gall abundance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Aphidoidea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Pemphigidae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). Ann.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. Soc. Amer. 90: 341-350, 1997.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>Yom Tov, Y. and D. Wool. Do the contents of Barn Owl pellets accurately represent the proportion of prey species in the field? Condor 99: 972-976, 1997.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M.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Inbar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Colonization of ecological islands: galling aphid populations on recovering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trees after destruction by fire. Eur.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95: 41-53, 1998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Wool ,D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., and O. Ben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Zvi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 Population Ecology and clone dynamics of the galling aphid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Geoica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wertheimae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Sternorrhynch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Pemphigidae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Eur.J.Entomol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95: 509-518, 1998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R.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Bogen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 Ecology of the gall-forming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Slavum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wertheimae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atlantica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population dynamics and differential herbivory.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Isr.J.Zool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45: 247-260, 1999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R.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Aloni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O. Ben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Zvi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M.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Wollberg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 A galling aphid furnishes its home with a built-in pipeline to the host food supply.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91:183-186, 1999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T.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Agami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 Response to selection and genetic regulation of esterase activity variation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confusum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Selection 1: 95-105, 2000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 Charles Lyell - " The father of Geology" - as a fore runner of modern Ecology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Oikos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94: 385-391, 2001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Sulami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Z. Induction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alate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sexuparae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root cage colonies, and female-biased sex ratios in the galling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Aploneura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lentisci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Exp. Appl. 101: 299-303, 2001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Herbivore abundance is independent of weather? A 20-year study of a galling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Baizongia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Aphidoidea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.)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Popul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Ecol. 44: 281-291, 2002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Dayan, T., Wool, D., and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Simbersloff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D. Variation and covariation of skulls and teeth: modern carnivores and the interpretation of fossil mammals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Paleobiology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28: 508-526, 2002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and Front, L. Esterase variation in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Tribolium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confusum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Coleoptera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Tenebrionidae</w:t>
      </w:r>
      <w:proofErr w:type="spellEnd"/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genetic analysis of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interstrain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crosses in relation to malathion resistance J. Stored Prod. Res. 39: 237-249, 2003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Martinez, J.J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Y.) and Wool, D. Differential response of trees and shrubs to browsing and pruning : the effect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growth and gall-inducing aphids Plant Ecology 169: 285- 294, 2003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Wool, D. Galling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aphids :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Specialization, biological complexity, and variation.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Annu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 Rev.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Entomol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49: 175- 194, 2004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Manheim, O., and Wool, D. 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Ifferential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response of genotypes to alternative environments: a comparative morphological study of gall-inducing aphids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Pemphigidae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 Israel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J.Zool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 49: 287-305, 2003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Inbar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M., Wink M. and Wool, D. The evolution of host-plant manipulation by insects: molecular and ecological evidence from gall-forming aphids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 Molecular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Phylogenetics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Evolution, 2004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Martinez, J-J.Y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. ,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Mokady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O., Wool D. Patch size and patch quality of gall- inducing aphids in a mosaic landscape in Israel. Landscape Ecology, 20:1013-1024, 2005.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Hazkani-Covo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,E</w:t>
      </w:r>
      <w:proofErr w:type="spellEnd"/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 Wool, D.,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Graur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D.  In search of the vertebrate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phylotypic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stage: a molecular examination of the development hourglass model and Von Baer's third law. J. Exp. Zool.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Mol.Dev.Evol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.) 304 B: 150-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158 ,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Wool, D. Differential colonization of host trees by galling aphids: selection of hosts or selection by hosts? Basic and Applied Ecology, 6: 445-451, 2005.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D., Hendrix, D.L.,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Shukry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O. Seasonal variation in honeydew sugar content of galling aphids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Aphidoidea</w:t>
      </w:r>
      <w:proofErr w:type="spellEnd"/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Pemphigidae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Fordinae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feeding on </w:t>
      </w:r>
      <w:proofErr w:type="spellStart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t>: Host ecology and aphid physiology. Basic and Applied Ecology, 7: 141-151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Martinez, J-J.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Y. ,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Wool, D. Sampling bias in roadsides: the case of galling aphids on </w:t>
      </w:r>
      <w:proofErr w:type="spellStart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t>trees Biodiversity and Conservation, 2006 DOI 10.1007/s 10531-004-6685-2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b/>
          <w:bCs/>
          <w:sz w:val="24"/>
          <w:szCs w:val="24"/>
        </w:rPr>
        <w:t>Chapters in books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J.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Koach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. Morphological variation of the gall-forming Aphid,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Geoica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utricularia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) in relation to environmental variation. pp. 239-272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"Population Genetics and Ecology", S.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Karlin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E.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(eds.). Academic Press, 1976.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Gall-forming Aphids.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pp.l1-58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In: "Biology of gall insects", T.N.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Ananthakrishnan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(ed.). Oxford &amp; IBH, 1984.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Wool, D. Electrophoretic variation in post-harvest agricultural pests, and its implications. pp. 341-362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"Electrophoretic studies on agricultural pests", H.D.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Loxdale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J. Den Hollander (eds.). Clarendon Press, Oxford, 1989.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 and O. Manheim. Multivariate study of temporal variation in morphology of a gall-forming aphid. pp. 179-192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: "Ordination in the study of morphology, evolution and systematics of insects", J. Sorensen and R.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Foottit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(eds.). Elsevier, 1992.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The shapes of insect galls: insect control, plant constraints and phylogeny. pp. 203-213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>: "Ecology and evolution of plant-feeding insects in natural and man-made environments", A. Raman (ed.). Intern. Sci. Publ., New Delhi, India, 1997.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Gall-forming aphids on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Pistacia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: a first look at the subterranean part of their life cycle. 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pp.127-131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in “The biology of gall-inducing arthropods”,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G.Csoka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W.J.Mattson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G.N.Stone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P.W.Price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(eds.), USDA Forest Service , St. Paul, Minnesota, 1998.</w:t>
      </w:r>
      <w:r w:rsidRPr="00EF58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F58BF" w:rsidRPr="00EF58BF" w:rsidRDefault="00EF58BF" w:rsidP="00EF58B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Wool, D. Gall-inducing 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aphids :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biology, ecology and evolution. </w:t>
      </w:r>
      <w:proofErr w:type="gramStart"/>
      <w:r w:rsidRPr="00EF58BF">
        <w:rPr>
          <w:rFonts w:ascii="Times New Roman" w:eastAsia="Times New Roman" w:hAnsi="Times New Roman" w:cs="Times New Roman"/>
          <w:sz w:val="24"/>
          <w:szCs w:val="24"/>
        </w:rPr>
        <w:t>In :</w:t>
      </w:r>
      <w:proofErr w:type="gram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 "Biology, Ecology and Evolution of Gall-inducing Arthropods"; A. Raman,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C.W.Schaefer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 xml:space="preserve">, and T.M. Withers,(eds.). Science Publishers, New </w:t>
      </w:r>
      <w:proofErr w:type="spellStart"/>
      <w:r w:rsidRPr="00EF58BF">
        <w:rPr>
          <w:rFonts w:ascii="Times New Roman" w:eastAsia="Times New Roman" w:hAnsi="Times New Roman" w:cs="Times New Roman"/>
          <w:sz w:val="24"/>
          <w:szCs w:val="24"/>
        </w:rPr>
        <w:t>Hempshire</w:t>
      </w:r>
      <w:proofErr w:type="spellEnd"/>
      <w:r w:rsidRPr="00EF58BF">
        <w:rPr>
          <w:rFonts w:ascii="Times New Roman" w:eastAsia="Times New Roman" w:hAnsi="Times New Roman" w:cs="Times New Roman"/>
          <w:sz w:val="24"/>
          <w:szCs w:val="24"/>
        </w:rPr>
        <w:t>, USA.</w:t>
      </w:r>
    </w:p>
    <w:p w:rsidR="0098792D" w:rsidRDefault="00517A60" w:rsidP="00EF58BF">
      <w:pPr>
        <w:bidi w:val="0"/>
      </w:pPr>
    </w:p>
    <w:sectPr w:rsidR="0098792D" w:rsidSect="00517A6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10A"/>
    <w:multiLevelType w:val="multilevel"/>
    <w:tmpl w:val="AB4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835C5"/>
    <w:multiLevelType w:val="multilevel"/>
    <w:tmpl w:val="0B2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F"/>
    <w:rsid w:val="00517A60"/>
    <w:rsid w:val="00AB6606"/>
    <w:rsid w:val="00EF58BF"/>
    <w:rsid w:val="00F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4BC1-B95E-4786-B44C-3303F26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F58B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F58B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F58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8BF"/>
    <w:rPr>
      <w:color w:val="0000FF"/>
      <w:u w:val="single"/>
    </w:rPr>
  </w:style>
  <w:style w:type="character" w:customStyle="1" w:styleId="label">
    <w:name w:val="label"/>
    <w:basedOn w:val="DefaultParagraphFont"/>
    <w:rsid w:val="00EF58BF"/>
  </w:style>
  <w:style w:type="character" w:styleId="Strong">
    <w:name w:val="Strong"/>
    <w:basedOn w:val="DefaultParagraphFont"/>
    <w:uiPriority w:val="22"/>
    <w:qFormat/>
    <w:rsid w:val="00EF58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8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5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-lifesci.tau.ac.il/profile/dw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-lifesci.tau.ac.il/profile/dwo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-lifesci.tau.ac.il/profile/dwo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wool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3796</Words>
  <Characters>18985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2</cp:revision>
  <dcterms:created xsi:type="dcterms:W3CDTF">2020-11-08T07:07:00Z</dcterms:created>
  <dcterms:modified xsi:type="dcterms:W3CDTF">2020-11-08T07:11:00Z</dcterms:modified>
</cp:coreProperties>
</file>